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PRODAT Systemanforderungen</w:t>
      </w:r>
    </w:p>
    <w:p>
      <w:r>
        <w:t>Server und Clients · Einrichtung und Betrieb</w:t>
        <w:br/>
        <w:t>Stand 28.10.2026 · Ausgabe 3</w:t>
      </w:r>
    </w:p>
    <w:p>
      <w:r>
        <w:t>Stand: 28.10.2026, Ausgabe 3. Die folgenden Anforderungen sind verbindliche PRODAT-Vorgaben für Neuinstallationen und Migrationen. Die Kunden-IT stellt die Infrastruktur bereit, setzt die Vorgaben um und bestätigt dies anhand der Checkliste. Abweichungen benötigen vor Umsetzung eine ausdrückliche, dokumentierte Freigabe durch PRODAT.</w:t>
      </w:r>
    </w:p>
    <w:p>
      <w:pPr>
        <w:pStyle w:val="berschrift1"/>
      </w:pPr>
      <w:r>
        <w:t>Systemanforderungen für Server und Client</w:t>
      </w:r>
    </w:p>
    <w:p>
      <w:r>
        <w:t>Windows Server 2022 oder 2025 bilden den Standard für neue Windows-Server; einzusetzen ist die von PRODAT für den jeweiligen Softwarestand freigegebene Version. Clients benötigen Windows 10 oder Windows 11. Windows Server 2012/R2 und Windows 7 sind keine zulässige Grundlage für Neuinstallationen. Die Nennung einer Produktfamilie ist keine automatische Freigabe aller zukünftigen Versionen.</w:t>
      </w:r>
    </w:p>
    <w:p>
      <w:r>
        <w:t>PRODAT gibt die PostgreSQL-Version und bei Linux-Datenbankservern die Distribution vor. Die Kunden-IT installiert die vorgegebene Version und nimmt keine eigenständigen Hauptversionswechsel vor. Erforderliche Betriebssystem-, RDS- und Anwendungslizenzen sind bereitzustellen.</w:t>
      </w:r>
    </w:p>
    <w:p>
      <w:pPr>
        <w:pStyle w:val="berschrift1"/>
      </w:pPr>
      <w:r>
        <w:t>Arbeitsplatzvorgaben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Bestandteil</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Mindestvorgabe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Betriebssystem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Windows 10 oder Windows 11</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CPU</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 moderne CPU-Kerne mit hoher Einzelkernleistung</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RAM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16 GB; 32 GB bei umfangreichen Zeichnungen und CAD-Anwendungen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Datenträger</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SSD mit mindestens 20 GB freiem Platz für lokalen Programmstand und temporäre Dateien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Netzwerk</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LAN empfohlen; WLAN und 5G bei lokaler Programmausführung mit RunLocal möglich</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Bildschirm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Mindestens Full HD</w:t>
            </w:r>
          </w:p>
        </w:tc>
      </w:tr>
    </w:tbl>
    <w:p>
      <w:pPr>
        <w:spacing w:after="0"/>
      </w:pPr>
    </w:p>
    <w:p>
      <w:r>
        <w:t>Zusätzliche CAD- oder andere Fachanwendungen können höhere Anforderungen haben. Drucker, Scanner und Terminals müssen die PRODAT-Einrichtungsanleitung erfüllen. Bei RDS sind diese Geräte im tatsächlichen Sitzungsbetrieb zu testen.</w:t>
      </w:r>
    </w:p>
    <w:p>
      <w:r>
        <w:br w:type="page"/>
      </w:r>
    </w:p>
    <w:p>
      <w:pPr>
        <w:pStyle w:val="berschrift1"/>
      </w:pPr>
      <w:r>
        <w:t>Hardwarevorgaben für den Datenbankserver</w:t>
      </w:r>
    </w:p>
    <w:p>
      <w:r>
        <w:t>Die Staffel richtet sich nach gleichzeitig aktiven PRODAT-Nutzern einschließlich BDE und Mobile. Mehrere Datenbankverbindungen eines Nutzers sind keine zusätzlichen Nutzer. Terminalserver-Sitzungen, Fremdanwendungen und getrennte Anwendungsserver sind in den Ressourcen dieser Tabelle nicht enthalten.</w:t>
      </w:r>
    </w:p>
    <w:tbl>
      <w:tblPr>
        <w:tblW w:type="auto" w:w="0"/>
        <w:tblLayout w:type="fixed"/>
        <w:tblLook w:firstColumn="1" w:firstRow="1" w:lastColumn="0" w:lastRow="0" w:noHBand="0" w:noVBand="1" w:val="04A0"/>
      </w:tblPr>
      <w:tblGrid>
        <w:gridCol w:w="2324"/>
        <w:gridCol w:w="2324"/>
        <w:gridCol w:w="2324"/>
        <w:gridCol w:w="2438"/>
      </w:tblGrid>
      <w:tr>
        <w:trPr>
          <w:cantSplit/>
          <w:tblHeader/>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Aktive Nutzer</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CPU-Kerne / vCPU</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RAM mindestens</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PostgreSQL-Klasse</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1–9</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6</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16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Klein</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10–49</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12</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32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Mittel</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50–75</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24</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48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Mittel</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76–200</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36</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ab 64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Groß</w:t>
            </w:r>
          </w:p>
        </w:tc>
      </w:tr>
    </w:tbl>
    <w:p>
      <w:pPr>
        <w:spacing w:after="0"/>
      </w:pPr>
    </w:p>
    <w:p>
      <w:r>
        <w:t>Bei der Prozessorauswahl hat eine hohe Einzelkernleistung Vorrang vor einer möglichst hohen Kernanzahl. Viele PRODAT-Datenbankoperationen profitieren unmittelbar von schnellen einzelnen Kernen. Zusätzliche Kerne ermöglichen insbesondere gleichzeitige Benutzerzugriffe und parallel ausführbare Abfragen. Die vorgegebene Kernanzahl muss zusätzlich erfüllt sein; viele langsame Kerne ersetzen keine hohe Einzelkernleistung.</w:t>
      </w:r>
    </w:p>
    <w:p>
      <w:pPr>
        <w:pStyle w:val="ListBullet"/>
      </w:pPr>
      <w:r>
        <w:t>Die CPU-Leistung muss dauerhaft verfügbar sein. vCPU sind kein automatischer Leistungsnachweis für gleich viele dedizierte physische Kerne; Host-Auslastung und CPU-Generation sind zu berücksichtigen.</w:t>
      </w:r>
    </w:p>
    <w:p>
      <w:pPr>
        <w:pStyle w:val="ListBullet"/>
      </w:pPr>
      <w:r>
        <w:t>Virtuelle Datenbankserver erhalten fest zugewiesenen RAM. Der Host darf diesen Arbeitsspeicher nicht auslagern. Kein konkurrierender Exchange-, Terminalserver- oder sonstiger größerer Anwendungsbetrieb auf dem Datenbankserver.</w:t>
      </w:r>
    </w:p>
    <w:p>
      <w:pPr>
        <w:pStyle w:val="ListBullet"/>
      </w:pPr>
      <w:r>
        <w:t>Kleine Klasse: Enterprise-SSD. Mittlere und große Klasse: Enterprise-NVMe. Redundante Speicherung mindestens durch Spiegelung oder gleichwertige Redundanz des Speichersystems.</w:t>
      </w:r>
    </w:p>
    <w:p>
      <w:pPr>
        <w:pStyle w:val="ListBullet"/>
      </w:pPr>
      <w:r>
        <w:t>Mindestens 100 GB für Betriebssystem und Programme bereitstellen. Für Datenbank und Arbeitsdaten ist eine eigene, vom Betriebssystem getrennte Partition mit mindestens 200 GB nutzbarer Kapazität bereitzustellen; Laufwerk D: wird empfohlen. Datenbestand, Indizes, WAL, temporäre Dateien und Wachstum können mehr Kapazität erfordern.</w:t>
      </w:r>
    </w:p>
    <w:p>
      <w:pPr>
        <w:pStyle w:val="ListBullet"/>
      </w:pPr>
      <w:r>
        <w:t>Nur bei großen Systemen (76–200 gleichzeitig aktive Nutzer) ist das DMS separat mit mindestens 500 GB nutzbarer Kapazität bereitzustellen. Bei kleineren Systemen richtet sich die DMS-Kapazität nach Dokumentenbestand und Wachstum; eine pauschale Mindestgröße von 500 GB gilt dort nicht. Sicherungskapazität kommt separat hinzu.</w:t>
      </w:r>
    </w:p>
    <w:p>
      <w:pPr>
        <w:pStyle w:val="ListBullet"/>
      </w:pPr>
      <w:r>
        <w:t>Im Betrieb mindestens 25 % freie Kapazität auf Datenvolumes erhalten. Bei Unterschreitung Kapazität erweitern.</w:t>
      </w:r>
    </w:p>
    <w:p>
      <w:pPr>
        <w:pStyle w:val="ListBullet"/>
      </w:pPr>
      <w:r>
        <w:t>Umfangreiche Datenbestände, Schnittstellen oder Auswertungen erfordern gegebenenfalls eine höhere Ausstattung. PRODAT legt diese sowie die Ausstattung für mehr als 200 aktive Nutzer gesondert fest.</w:t>
      </w:r>
    </w:p>
    <w:p>
      <w:r>
        <w:br w:type="page"/>
      </w:r>
    </w:p>
    <w:p>
      <w:pPr>
        <w:pStyle w:val="berschrift1"/>
      </w:pPr>
      <w:r>
        <w:t>Netzwerk und lokale Programmausführung</w:t>
      </w:r>
    </w:p>
    <w:p>
      <w:r>
        <w:t>Für stationäre Arbeitsplätze wird eine kabelgebundene LAN-Verbindung empfohlen. Bei lokaler Programmausführung mit RunLocal sind auch WLAN und 5G für den laufenden PRODAT-Betrieb möglich. Eine pauschale Mindestbandbreite von 1 Gbit/s am Arbeitsplatz oder 10 Gbit/s auf dem Server-Datenpfad wird nicht vorausgesetzt; entscheidend sind Antwortzeiten und Verbindungsqualität im tatsächlichen Betrieb.</w:t>
      </w:r>
    </w:p>
    <w:p>
      <w:r>
        <w:t>Beim direkten Programmstart aus der Netzwerkfreigabe werden Programmdateien über das Netzwerk geladen. Das Programmpaket kann etwa 1 GB umfassen; dieser Übertragungsbedarf ist vom laufenden Datenbankverkehr zu unterscheiden. Bei WLAN, Mobilfunk oder wechselnden Verbindungen ist deshalb eine lokale Programmkopie mit RunLocal zu verwenden.</w:t>
      </w:r>
    </w:p>
    <w:p>
      <w:r>
        <w:t>RunLocal stellt den Programmstand lokal bereit. Nach Bereitstellung beziehungsweise Aktualisierung erfolgt die Programmausführung vom lokalen Datenträger; über das Netzwerk laufen insbesondere Datenbankzugriffe und bei Bedarf Dokumentübertragungen. Die Übertragung des Programmpakets ist bei Erstbereitstellung und Updates zu berücksichtigen.</w:t>
      </w:r>
    </w:p>
    <w:p>
      <w:r>
        <w:t>Bei lokal gestarteter Anwendung können unterbrochene Datenbankverbindungen nach Rückkehr der Netzverbindung wiederhergestellt werden. Dies bedeutet keinen Offlinebetrieb; ein unterbrochener Arbeitsschritt ist anschließend auf seinen Status zu prüfen und gegebenenfalls erneut auszuführen. Große DMS-Dateien und Schnittstellen können zusätzliche Bandbreite benötigen. Die Kunden-IT prüft typische Abläufe über den tatsächlich vorgesehenen Zugangsweg.</w:t>
      </w:r>
    </w:p>
    <w:p>
      <w:r>
        <w:t>Einrichtung: 105 Prodat Lokales Start Script (RunLocal).</w:t>
      </w:r>
    </w:p>
    <w:p>
      <w:r>
        <w:br w:type="page"/>
      </w:r>
    </w:p>
    <w:p>
      <w:pPr>
        <w:pStyle w:val="berschrift1"/>
      </w:pPr>
      <w:r>
        <w:t>Installation und Freigaben</w:t>
      </w:r>
    </w:p>
    <w:p>
      <w:r>
        <w:t>Standardstamm ist D:\ProdatERP. Ein anderes Datenlaufwerk ist bei gleicher Unterstruktur zulässig. Die Kunden-IT richtet Freigabe- und NTFS-Berechtigungen passend zu den folgenden Vorgaben ein; Datenbankverzeichnisse sind keine allgemeinen Clientfreigaben.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Verzeichnis unter D:\ProdatERP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Vorgabe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Datenbankinstallation; Zugriff nur für erforderliche Dienste und Administratoren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DMS</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Dokumentenarchiv; Zugriffsrechte gemäß den eingesetzten PRODAT-Diensten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ProdatShare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Programmfreigabe; normale Benutzer erhalten Lese- und Ausführungsrechte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ProdatShare\Prodat\EDI</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Eigene versteckte Freigabe PRODAT-EDI$; Schreibrechte nur für berechtigte EDI-Benutzer und Dienste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Mobile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Mobile-Anwendungen; Zugriff auf Administratoren und das Dienstkonto ProdatMobileService begrenzen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Backup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Lokale Zwischenablage der Datenbanksicherungen; kein Ersatz für ein getrenntes Sicherungsziel</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Setup und Setup\Backup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Update-Dateien und gesicherte Programmstände; Änderungen nur durch berechtigte Administratoren</w:t>
            </w:r>
          </w:p>
        </w:tc>
      </w:tr>
    </w:tbl>
    <w:p>
      <w:pPr>
        <w:spacing w:after="0"/>
      </w:pPr>
    </w:p>
    <w:p>
      <w:r>
        <w:t>Bei mehreren Mandanten steht der Mandant vor ProdatShare, beispielsweise D:\ProdatERP\Mandant\ProdatShare\Prodat. Jeder Mandant erhält eigene Freigaben und Berechtigungen. Programme werden als Prodat, Prodat-TESTLIVE und Prodat-TESTTEST geführt. TESTLIVE verwendet die produktive Datenbank, TESTTEST eine separate Testdatenbank. Für TESTTEST ist auch das DMS vom produktiven Bestand zu trennen.</w:t>
      </w:r>
    </w:p>
    <w:p>
      <w:r>
        <w:t>Für Mobile ist das eigene, vorzugsweise lokale Dienstkonto ProdatMobileService ohne Administratorrechte einzurichten. Es erhält das Dienstanmelderecht und nur die notwendigen Verzeichnisrechte. Die Kunden-IT prüft die wirksamen Rechte mit einem normalen Benutzerkonto.</w:t>
      </w:r>
    </w:p>
    <w:p>
      <w:r>
        <w:t>Lokale Programmkopien werden nach 105 Prodat Lokales Start Script (RunLocal) eingerichtet. Interne Detailvorgabe: PRODAT Installationspfade — https://redmine.prodat-sql.de/projects/prodat-v-x/wiki/Prodat-Installation-Pfade (interner Zugriff erforderlich).</w:t>
      </w:r>
    </w:p>
    <w:p>
      <w:pPr>
        <w:pStyle w:val="berschrift1"/>
      </w:pPr>
      <w:r>
        <w:t>PostgreSQL Konfiguration</w:t>
      </w:r>
    </w:p>
    <w:p>
      <w:r>
        <w:t>Die Hardwareklassen Klein, Mittel und Groß bestimmen die PRODAT-Konfigurationsvorgabe. Die Klasse Mittel gilt sowohl für 10–49 als auch für 50–75 Nutzer. PRODAT richtet die Datenbankparameter ein; die Kunden-IT verändert diese nicht eigenständig.</w:t>
      </w:r>
    </w:p>
    <w:p>
      <w:r>
        <w:t>TSystem.database_settings__set() setzt die PRODAT-Konfiguration serverweit. TSystem.database_settings__validate() prüft die wirksamen Einstellungen und meldet Abweichungen. Maßgeblich ist die zur installierten PRODAT-Version gehörende Funktionsfassung. Die Prüfung einschließlich der datenabhängigen shared_buffers-Anforderung gehört zur Inbetriebnahme.</w:t>
      </w:r>
    </w:p>
    <w:p>
      <w:r>
        <w:t>Details, Parameterwerte und Quellcodeverweise: PostgreSQL Vorgaben und Konfigurationsprüfung — https://redmine.prodat-sql.de/projects/prodat-v12-public/wiki/710_Datenbankeinstellungen_und_Tuning_(postgresql_conf)</w:t>
      </w:r>
    </w:p>
    <w:p>
      <w:r>
        <w:br w:type="page"/>
      </w:r>
    </w:p>
    <w:p>
      <w:pPr>
        <w:pStyle w:val="berschrift1"/>
      </w:pPr>
      <w:r>
        <w:t>Firewall und Ports</w:t>
      </w:r>
    </w:p>
    <w:p>
      <w:r>
        <w:t>Die Kunden-IT gibt die Verbindungen für die eingesetzten Module frei und dokumentiert Quell- und Zielsystem. Datenbank- und SMB-Ports dürfen nicht direkt aus dem Internet erreichbar sein. Abweichende Portnummern gibt PRODAT im Installationsprotokoll vor.</w:t>
      </w:r>
    </w:p>
    <w:tbl>
      <w:tblPr>
        <w:tblW w:type="auto" w:w="0"/>
        <w:tblLayout w:type="fixed"/>
        <w:tblLook w:firstColumn="1" w:firstRow="1" w:lastColumn="0" w:lastRow="0" w:noHBand="0" w:noVBand="1" w:val="04A0"/>
      </w:tblPr>
      <w:tblGrid>
        <w:gridCol w:w="3402"/>
        <w:gridCol w:w="2268"/>
        <w:gridCol w:w="3742"/>
      </w:tblGrid>
      <w:tr>
        <w:trPr>
          <w:cantSplit/>
          <w:tblHeader/>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Quelle und Ziel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Port / Protokoll</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Zweck</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berechtigte Dienste → Datenbankserver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5432/TCP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ApplicationServer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212/TCP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Hilfesystem ab Version 12.3</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ApplicationServer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211/TCP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Caching / DataSnap</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PRODAT-Erfassungsdienst → Datafox-Terminal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8000/TCP bei TCP/IP-Abfrage</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Nur bei eingesetztem Terminal; andere Betriebsarten gemäß PRODAT-Gerätevorgabe</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Dateiserver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445/TCP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SMB-Programmfreigabe</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PRODAT-Quell-IPs → Fernwartungsziel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3389/TCP intern</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RDP; externe Portzuordnung dokumentieren, UDP ist keine Voraussetzung</w:t>
            </w:r>
          </w:p>
        </w:tc>
      </w:tr>
    </w:tbl>
    <w:p>
      <w:pPr>
        <w:spacing w:after="0"/>
      </w:pPr>
    </w:p>
    <w:p>
      <w:r>
        <w:t>Für Mobile, Webdienste und weitere Schnittstellen liefert PRODAT die modulspezifischen Zielsysteme und Ports. Es sind nur die für die Installation benötigten Module freizuschalten. Datafox-Einrichtung: 9050 DataFox Terminal. Historische Ports 5431 (bis Version 11) und 212 als DMS-StreamPort (12.0–12.1) sind keine zusätzlichen Freigaben für aktuelle Versionen.</w:t>
      </w:r>
    </w:p>
    <w:p>
      <w:pPr>
        <w:pStyle w:val="berschrift1"/>
      </w:pPr>
      <w:r>
        <w:t>Virenscanner und Endgeräteschutz</w:t>
      </w:r>
    </w:p>
    <w:p>
      <w:r>
        <w:t>Die produktiven PostgreSQL-Datenverzeichnisse einschließlich WAL sind von Echtzeit-Dateiscans auszunehmen. Liegt WAL außerhalb des Datenverzeichnisses, ist dessen tatsächlicher Pfad gesondert aufzunehmen. PRODAT benennt die installierten Pfade; die Kunden-IT setzt die Ausnahmen im eingesetzten Virenscanner beziehungsweise EDR um und dokumentiert System, vollständigen Pfad, Ausnahmeart und verantwortlichen Administrator.</w:t>
      </w:r>
    </w:p>
    <w:p>
      <w:r>
        <w:t>Keine pauschalen Ausnahmen für das gesamte Laufwerk, alle ausführbaren Dateien oder das komplette DMS einrichten. Darüber hinausgehende Ausnahmen benötigen eine konkrete Begründung und PRODAT-Freigabe. Schutzsoftware darf den laufenden Datenbankbetrieb nicht durch Dateisperren oder Quarantäne beeinträchtigen. Nach Einrichtung Datenbank, PRODAT und Dokumentenzugriff mit aktivem Schutz testen.</w:t>
      </w:r>
    </w:p>
    <w:p>
      <w:r>
        <w:br w:type="page"/>
      </w:r>
    </w:p>
    <w:p>
      <w:pPr>
        <w:pStyle w:val="berschrift1"/>
      </w:pPr>
      <w:r>
        <w:t>Fernwartung</w:t>
      </w:r>
    </w:p>
    <w:p>
      <w:r>
        <w:t>Die Kunden-IT richtet als erste Ausbaustufe einen verschlüsselten RDP-Zugang zum benannten Fernwartungsziel ein. Zulässig sind ausschließlich diese öffentlichen PRODAT-Quell-IP-Adressen: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Standort</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Zulässige Quell-IP</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Rechenzentrum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116.202.227.166</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Office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24.134.240.97</w:t>
            </w:r>
          </w:p>
        </w:tc>
      </w:tr>
    </w:tbl>
    <w:p>
      <w:pPr>
        <w:spacing w:after="0"/>
      </w:pPr>
    </w:p>
    <w:p>
      <w:r>
        <w:t>Ein zusätzliches VPN ist für diese Variante nicht vorgesehen. Die Freigabe umfasst ausschließlich RDP zum Zielsystem, keinen pauschalen Zugang zum Firmennetz. Zielsystem, öffentliche Adresse, externe Portzuordnung und notwendige interne Zugriffe sind im Installationsprotokoll festzuhalten. Abweichende Kundenrichtlinien erfordern eine dokumentierte Freigabe des alternativen Zugangs durch PRODAT.</w:t>
      </w:r>
    </w:p>
    <w:p>
      <w:pPr>
        <w:pStyle w:val="ListBullet"/>
      </w:pPr>
      <w:r>
        <w:t>Keine allgemeine Internetfreigabe für RDP; Firewall auf beide Quell-IPs begrenzen.</w:t>
      </w:r>
    </w:p>
    <w:p>
      <w:pPr>
        <w:pStyle w:val="ListBullet"/>
      </w:pPr>
      <w:r>
        <w:t>Unterstütztes, aktualisiertes Windows, aktive Netzwerkauthentifizierung (NLA), Verschlüsselung und geprüfte Serveridentität verwenden.</w:t>
      </w:r>
    </w:p>
    <w:p>
      <w:pPr>
        <w:pStyle w:val="ListBullet"/>
      </w:pPr>
      <w:r>
        <w:t>Eigenes Supportkonto mit starkem kundenspezifischem Passwort und erforderlichen Rechten einrichten; personenbezogene Konten bevorzugen.</w:t>
      </w:r>
    </w:p>
    <w:p>
      <w:pPr>
        <w:pStyle w:val="ListBullet"/>
      </w:pPr>
      <w:r>
        <w:t>Zugangsdaten über einen geschützten Kanal übergeben. Zugriff von PRODAT und Sperre anderer Quelladressen prüfen.</w:t>
      </w:r>
    </w:p>
    <w:p>
      <w:pPr>
        <w:pStyle w:val="ListBullet"/>
      </w:pPr>
      <w:r>
        <w:t>Anmeldungen protokollieren; Verantwortliche für Sperrung, Passwortwechsel und Pflege benennen.</w:t>
      </w:r>
    </w:p>
    <w:p>
      <w:pPr>
        <w:pStyle w:val="ListBullet"/>
      </w:pPr>
      <w:r>
        <w:t>Nicht mehr benötigte Fernwartungszugänge nach erfolgreicher Umstellung deaktivieren.</w:t>
      </w:r>
    </w:p>
    <w:p>
      <w:r>
        <w:t>MFA und ein zentraler Gateway sind als spätere Ausbaustufe vorgesehen. Bereits vorhandene Schutzmaßnahmen bleiben erhalten.</w:t>
      </w:r>
    </w:p>
    <w:p>
      <w:pPr>
        <w:pStyle w:val="berschrift1"/>
      </w:pPr>
      <w:r>
        <w:t>Datensicherung und Betrieb</w:t>
      </w:r>
    </w:p>
    <w:p>
      <w:r>
        <w:t>Die Kunden-IT ist für Infrastruktur, Betriebssystempflege, Sicherungsbetrieb und Überwachung verantwortlich; PRODAT für die PRODAT-spezifische Einrichtung und Datenbankkonfiguration. Abweichende Betriebsverantwortung ist ausdrücklich zu dokumentieren.</w:t>
      </w:r>
    </w:p>
    <w:p>
      <w:r>
        <w:t>Mindestens täglich Datenbank, DMS und erforderliche Konfigurationen mit einem konsistent wiederherstellbaren Verfahren sichern. Sicherungen auf ein vom Produktivserver getrenntes Ziel übertragen und mindestens eine gegen Manipulation oder Löschung geschützte Kopie vorhalten. Ein lokaler Backup-Ordner, RAID oder VM-Snapshots allein erfüllen diese Vorgabe nicht.</w:t>
      </w:r>
    </w:p>
    <w:p>
      <w:r>
        <w:t>Vor Inbetriebnahme Wiederherstellung in einer separaten Umgebung testen und Ergebnis dokumentieren. Den Test regelmäßig sowie nach wesentlichen Änderungen wiederholen. Aufbewahrungsdauer, maximal tolerierbaren Datenverlust und Wiederanlaufzeit im Betriebsprotokoll festhalten; bei kürzerem zulässigem Datenverlust ist häufiger zu sichern. Sicherungsfehler, freien Speicher und Dienstausfälle überwachen und einen Alarmempfänger benennen.</w:t>
      </w:r>
    </w:p>
    <w:p>
      <w:r>
        <w:br w:type="page"/>
      </w:r>
    </w:p>
    <w:p>
      <w:pPr>
        <w:pStyle w:val="berschrift1"/>
      </w:pPr>
      <w:r>
        <w:t>Hinweise zu Windows Server 2025 und Netzwerkfreigaben</w:t>
      </w:r>
    </w:p>
    <w:p>
      <w:r>
        <w:t>Share-Berechtigungen über die erweiterten Freigabeeinstellungen setzen und die wirksamen Freigabe- und NTFS-Rechte kontrollieren. Den Zugriff mit einem normalen Benutzerkonto prüfen. Dies ist besonders bei Neuinstallationen und Migrationen auf Windows Server 2025 Teil der Abnahme.</w:t>
      </w:r>
    </w:p>
    <w:p>
      <w:r>
        <w:t>Bei auffälligen Antwortzeiten typische Abläufe messen und mit lokaler beziehungsweise RDP-Ausführung vergleichen. Dokumentieren, ob dabei lokale Dateien oder weiterhin Netzwerkfreigaben verwendet werden. Server-/Netzwerkressourcen, Virenscanner, SMB-Signierung, SMB-Verschlüsselung und zugriffsbasierte Auflistung (ABE) sind Prüfpunkte, keine pauschal bestätigten Fehlerursachen. Jeweils nur eine Einstellung ändern und das Ergebnis festhalten.</w:t>
      </w:r>
    </w:p>
    <w:p>
      <w:r>
        <w:t>SMB-Sicherheitsfunktionen dürfen nicht pauschal deaktiviert werden. Änderungen benötigen eine konkrete Diagnose und dokumentierte Freigabe. Windows Server 2025 verlangt standardmäßig ausgehende SMB-Signierung; Windows 11 24H2 Pro/Enterprise/Education ein- und ausgehende Signierung. Für SMB 2/3 ist EnableSecuritySignature nicht maßgeblich; entscheidend ist die Signierungsanforderung auf beiden Seiten.</w:t>
      </w:r>
    </w:p>
    <w:p>
      <w:pPr>
        <w:pStyle w:val="ListBullet"/>
      </w:pPr>
      <w:r>
        <w:t>Microsoft SMB-Signierung — https://learn.microsoft.com/windows-server/storage/file-server/smb-signing</w:t>
      </w:r>
    </w:p>
    <w:p>
      <w:pPr>
        <w:pStyle w:val="ListBullet"/>
      </w:pPr>
      <w:r>
        <w:t>Microsoft Signierungseinstellungen — https://learn.microsoft.com/en-us/windows-server/storage/file-server/smb-signing-overview</w:t>
      </w:r>
    </w:p>
    <w:p>
      <w:r>
        <w:br w:type="page"/>
      </w:r>
    </w:p>
    <w:p>
      <w:pPr>
        <w:pStyle w:val="berschrift1"/>
      </w:pPr>
      <w:r>
        <w:t>Checkliste vor Inbetriebnahme oder Migration</w:t>
      </w:r>
    </w:p>
    <w:p>
      <w:r>
        <w:t>Kunde: ____________________    PRODAT-Version: ____________________</w:t>
        <w:br/>
        <w:t>Kunden-IT: ____________________    PRODAT: ____________________</w:t>
        <w:br/>
        <w:t>Geplanter Produktivstart: ____________________</w:t>
      </w:r>
    </w:p>
    <w:p>
      <w:r>
        <w:t>Kunde, PRODAT-Version, aktive Nutzer, Module, Zielsysteme und Abnahmedatum im Protokoll erfassen. Jeden Punkt als erfüllt oder nicht erfüllt kennzeichnen. Nicht zutreffende Module mit Begründung im Nachweis vermerken. Abweichungen benötigen PRODAT-Freigabe mit Datum und Verantwortlichem; offene Anforderungen verhindern die Betriebsfreigabe, solange keine Freigabe der Abweichung vorliegt.</w:t>
      </w:r>
    </w:p>
    <w:p>
      <w:pPr>
        <w:keepNext/>
        <w:spacing w:after="40" w:line="240" w:lineRule="auto"/>
      </w:pPr>
      <w:r>
        <w:rPr>
          <w:sz w:val="19"/>
        </w:rPr>
        <w:t>1. Betriebssystem und PostgreSQL-Version entsprechen der PRODAT-Vorgabe</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2. Hardwareklasse, Einzelkernleistung, CPU und RAM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3. SSD/NVMe, Redundanz, Kapazität und freie Reserve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4. Clientausstattung und Netzwerk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5. Installationspfade, Dienstkonten, Freigabe- und NTFS-Rechte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6. Produktiv-, Test- und Mandantenbereiche korrekt getrennt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7. PostgreSQL-Konfiguration eingerichtet und validate-Prüfung ausgewertet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8. Modulports mit Quelle, Ziel und Protokoll dokumentiert und getestet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9. Virenscanner-Ausnahmen dokumentiert; Funktion mit aktivem Schutz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r>
        <w:br w:type="page"/>
      </w:r>
    </w:p>
    <w:p>
      <w:pPr>
        <w:pStyle w:val="berschrift1"/>
      </w:pPr>
      <w:r>
        <w:t>Checkliste Fortsetzung</w:t>
      </w:r>
    </w:p>
    <w:p>
      <w:pPr>
        <w:keepNext/>
        <w:spacing w:after="40" w:line="240" w:lineRule="auto"/>
      </w:pPr>
      <w:r>
        <w:rPr>
          <w:sz w:val="19"/>
        </w:rPr>
        <w:t>10. RDP nur von beiden PRODAT-IP-Adressen erreichbar; NLA und Konto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11. Zugangsdatenübergabe, Protokollierung und Sperrverfahren geregelt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12. Nicht mehr benötigte Fernwartungszugänge deaktiviert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13. Tägliche Sicherung auf getrenntes Ziel und geschützte Kopie eingerichtet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14. Wiederherstellung getestet; Aufbewahrung und Wiederanlauf dokumentiert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15. Überwachung, Alarmempfänger und Wartungsverantwortung benannt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16. PRODAT, DMS, Geräte und Schnittstellen mit normalem Benutzer getestet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17. Bei Migration SMB-Rechte und gegebenenfalls Vergleichsmessungen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18. Abweichungen freigegeben; Abnahme durch Kunden-IT und PRODAT dokumentiert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r>
        <w:t>Freigabe Kunden-IT / PRODAT und Datum: __________________________________</w:t>
      </w:r>
    </w:p>
    <w:p>
      <w:r>
        <w:t>Geräteempfehlungen und weitere Einrichtungsanleitungen: siehe PRODAT-Wiki. Peripherie gemäß PRODAT-Einrichtungsanleitung betreiben.</w:t>
      </w:r>
    </w:p>
    <w:sectPr w:rsidR="0065770D" w:rsidRPr="00481087" w:rsidSect="00C61849">
      <w:headerReference w:type="default" r:id="rId10"/>
      <w:footerReference w:type="default" r:id="rId11"/>
      <w:pgSz w:w="11905" w:h="16837"/>
      <w:pgMar w:top="1134" w:right="1247" w:bottom="102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403B" w14:textId="77777777" w:rsidR="008A16B4" w:rsidRDefault="008A16B4">
      <w:r>
        <w:separator/>
      </w:r>
    </w:p>
  </w:endnote>
  <w:endnote w:type="continuationSeparator" w:id="0">
    <w:p w14:paraId="5D70EDBF" w14:textId="77777777" w:rsidR="008A16B4" w:rsidRDefault="008A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E318" w14:textId="77777777" w:rsidR="00000000"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A7FA0" w14:textId="77777777" w:rsidR="008A16B4" w:rsidRDefault="008A16B4">
      <w:r>
        <w:rPr>
          <w:color w:val="000000"/>
        </w:rPr>
        <w:separator/>
      </w:r>
    </w:p>
  </w:footnote>
  <w:footnote w:type="continuationSeparator" w:id="0">
    <w:p w14:paraId="6C35B5EE" w14:textId="77777777" w:rsidR="008A16B4" w:rsidRDefault="008A1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BBC7" w14:textId="77777777" w:rsidR="00000000"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47565"/>
    <w:multiLevelType w:val="multilevel"/>
    <w:tmpl w:val="081698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31195847"/>
    <w:multiLevelType w:val="multilevel"/>
    <w:tmpl w:val="D87A53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C985EC0"/>
    <w:multiLevelType w:val="multilevel"/>
    <w:tmpl w:val="C17A2160"/>
    <w:lvl w:ilvl="0">
      <w:start w:val="1"/>
      <w:numFmt w:val="decimal"/>
      <w:lvlText w:val="%1."/>
      <w:lvlJc w:val="left"/>
      <w:pPr>
        <w:ind w:left="57" w:firstLine="0"/>
      </w:pPr>
      <w:rPr>
        <w:b/>
      </w:rPr>
    </w:lvl>
    <w:lvl w:ilvl="1">
      <w:start w:val="1"/>
      <w:numFmt w:val="decimal"/>
      <w:lvlText w:val="%2."/>
      <w:lvlJc w:val="left"/>
      <w:pPr>
        <w:ind w:left="113" w:firstLine="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bullet"/>
      <w:lvlText w:val=""/>
      <w:lvlJc w:val="left"/>
      <w:rPr>
        <w:rFonts w:ascii="Symbol" w:hAnsi="Symbol" w:hint="default"/>
      </w:rPr>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663015D7"/>
    <w:multiLevelType w:val="multilevel"/>
    <w:tmpl w:val="3904C9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7BFD71AA"/>
    <w:multiLevelType w:val="multilevel"/>
    <w:tmpl w:val="A1221C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760713963">
    <w:abstractNumId w:val="2"/>
  </w:num>
  <w:num w:numId="2" w16cid:durableId="2033679181">
    <w:abstractNumId w:val="3"/>
  </w:num>
  <w:num w:numId="3" w16cid:durableId="579951835">
    <w:abstractNumId w:val="4"/>
  </w:num>
  <w:num w:numId="4" w16cid:durableId="399791255">
    <w:abstractNumId w:val="1"/>
  </w:num>
  <w:num w:numId="5" w16cid:durableId="180364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F4"/>
    <w:rsid w:val="000D492F"/>
    <w:rsid w:val="001021ED"/>
    <w:rsid w:val="00144FEB"/>
    <w:rsid w:val="001803F4"/>
    <w:rsid w:val="00234535"/>
    <w:rsid w:val="00250A6F"/>
    <w:rsid w:val="00431DEC"/>
    <w:rsid w:val="00481087"/>
    <w:rsid w:val="004E64AB"/>
    <w:rsid w:val="0065770D"/>
    <w:rsid w:val="006D6C94"/>
    <w:rsid w:val="006E241C"/>
    <w:rsid w:val="0071223B"/>
    <w:rsid w:val="00840C86"/>
    <w:rsid w:val="00856267"/>
    <w:rsid w:val="008A16B4"/>
    <w:rsid w:val="008B1412"/>
    <w:rsid w:val="009251D9"/>
    <w:rsid w:val="00966835"/>
    <w:rsid w:val="00982075"/>
    <w:rsid w:val="00A1170A"/>
    <w:rsid w:val="00A46841"/>
    <w:rsid w:val="00C61849"/>
    <w:rsid w:val="00C9693F"/>
    <w:rsid w:val="00D6386D"/>
    <w:rsid w:val="00E0181B"/>
    <w:rsid w:val="00E61DC6"/>
    <w:rsid w:val="00E87BC2"/>
    <w:rsid w:val="00EC6626"/>
    <w:rsid w:val="00FF01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E5508"/>
  <w15:docId w15:val="{559EBF9C-11F4-499F-8619-BB91FD46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spacing w:after="120" w:line="259" w:lineRule="auto"/>
    </w:pPr>
    <w:rPr>
      <w:rFonts w:ascii="Calibri" w:hAnsi="Calibri"/>
      <w:color w:val="000000"/>
      <w:sz w:val="21"/>
    </w:rPr>
  </w:style>
  <w:style w:type="paragraph" w:styleId="berschrift1">
    <w:name w:val="heading 1"/>
    <w:basedOn w:val="Heading"/>
    <w:next w:val="Textbody"/>
    <w:pPr>
      <w:spacing w:after="120" w:line="259" w:lineRule="auto"/>
      <w:outlineLvl w:val="0"/>
    </w:pPr>
    <w:rPr>
      <w:rFonts w:ascii="Calibri" w:hAnsi="Calibri"/>
      <w:b/>
      <w:bCs/>
      <w:color w:val="000000"/>
      <w:sz w:val="30"/>
    </w:rPr>
  </w:style>
  <w:style w:type="paragraph" w:styleId="berschrift2">
    <w:name w:val="heading 2"/>
    <w:basedOn w:val="Heading"/>
    <w:next w:val="Textbody"/>
    <w:pPr>
      <w:spacing w:after="120" w:line="259" w:lineRule="auto"/>
      <w:outlineLvl w:val="1"/>
    </w:pPr>
    <w:rPr>
      <w:rFonts w:ascii="Calibri" w:hAnsi="Calibri"/>
      <w:b/>
      <w:bCs/>
      <w:i/>
      <w:iCs/>
      <w:color w:val="000000"/>
      <w:sz w:val="30"/>
    </w:rPr>
  </w:style>
  <w:style w:type="paragraph" w:styleId="berschrift3">
    <w:name w:val="heading 3"/>
    <w:basedOn w:val="Heading"/>
    <w:next w:val="Textbody"/>
    <w:pPr>
      <w:outlineLvl w:val="2"/>
    </w:pPr>
    <w:rPr>
      <w:b/>
      <w:bCs/>
    </w:rPr>
  </w:style>
  <w:style w:type="paragraph" w:styleId="berschrift4">
    <w:name w:val="heading 4"/>
    <w:basedOn w:val="Heading"/>
    <w:next w:val="Textbody"/>
    <w:pPr>
      <w:outlineLvl w:val="3"/>
    </w:pPr>
    <w:rPr>
      <w:b/>
      <w:bCs/>
      <w:i/>
      <w:iCs/>
    </w:rPr>
  </w:style>
  <w:style w:type="paragraph" w:styleId="berschrift5">
    <w:name w:val="heading 5"/>
    <w:basedOn w:val="Heading"/>
    <w:next w:val="Textbody"/>
    <w:pPr>
      <w:outlineLvl w:val="4"/>
    </w:pPr>
    <w:rPr>
      <w:b/>
      <w:bCs/>
    </w:rPr>
  </w:style>
  <w:style w:type="paragraph" w:styleId="berschrift6">
    <w:name w:val="heading 6"/>
    <w:basedOn w:val="Heading"/>
    <w:next w:val="Textbody"/>
    <w:pPr>
      <w:outlineLvl w:val="5"/>
    </w:pPr>
    <w:rPr>
      <w:b/>
      <w:bCs/>
    </w:rPr>
  </w:style>
  <w:style w:type="paragraph" w:styleId="berschrift7">
    <w:name w:val="heading 7"/>
    <w:basedOn w:val="Heading"/>
    <w:next w:val="Textbody"/>
    <w:pPr>
      <w:outlineLvl w:val="6"/>
    </w:pPr>
    <w:rPr>
      <w:b/>
      <w:bCs/>
    </w:rPr>
  </w:style>
  <w:style w:type="paragraph" w:styleId="berschrift8">
    <w:name w:val="heading 8"/>
    <w:basedOn w:val="Heading"/>
    <w:next w:val="Textbody"/>
    <w:pPr>
      <w:outlineLvl w:val="7"/>
    </w:pPr>
    <w:rPr>
      <w:b/>
      <w:bCs/>
    </w:rPr>
  </w:style>
  <w:style w:type="paragraph" w:styleId="berschrift9">
    <w:name w:val="heading 9"/>
    <w:basedOn w:val="Heading"/>
    <w:next w:val="Textbody"/>
    <w:pPr>
      <w:outlineLvl w:val="8"/>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Arial" w:hAnsi="Arial" w:cs="Arial"/>
      <w:sz w:val="28"/>
      <w:szCs w:val="28"/>
    </w:rPr>
  </w:style>
  <w:style w:type="paragraph" w:customStyle="1" w:styleId="Textbody">
    <w:name w:val="Text body"/>
    <w:basedOn w:val="Standard"/>
    <w:pPr>
      <w:spacing w:after="120" w:line="259" w:lineRule="auto"/>
    </w:pPr>
    <w:rPr>
      <w:rFonts w:ascii="Calibri" w:hAnsi="Calibri"/>
      <w:color w:val="000000"/>
      <w:sz w:val="21"/>
    </w:r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rPr>
      <w:b/>
      <w:b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eastAsia="Tahoma" w:hAnsi="Tahoma"/>
      <w:sz w:val="16"/>
      <w:szCs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Tahoma" w:eastAsia="Tahoma" w:hAnsi="Tahoma" w:cs="Tahoma"/>
      <w:sz w:val="16"/>
      <w:szCs w:val="16"/>
    </w:rPr>
  </w:style>
  <w:style w:type="paragraph" w:customStyle="1" w:styleId="Title">
    <w:name w:val="Title"/>
    <w:pPr>
      <w:spacing w:after="120" w:line="259" w:lineRule="auto"/>
    </w:pPr>
    <w:rPr>
      <w:rFonts w:ascii="Calibri" w:hAnsi="Calibri"/>
      <w:color w:val="000000"/>
      <w:sz w:val="44"/>
    </w:rPr>
  </w:style>
  <w:style w:type="paragraph" w:customStyle="1" w:styleId="ListBullet">
    <w:name w:val="List Bullet"/>
    <w:pPr>
      <w:spacing w:after="120" w:line="259" w:lineRule="auto"/>
    </w:pPr>
    <w:rPr>
      <w:rFonts w:ascii="Calibri" w:hAnsi="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722D1-9C78-4D20-A937-72E9B0CE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2157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dschuch</dc:creator>
  <cp:lastModifiedBy>Daniel Schuchardt</cp:lastModifiedBy>
  <cp:revision>15</cp:revision>
  <cp:lastPrinted>2022-01-13T08:13:00Z</cp:lastPrinted>
  <dcterms:created xsi:type="dcterms:W3CDTF">2019-03-01T10:00:00Z</dcterms:created>
  <dcterms:modified xsi:type="dcterms:W3CDTF">2026-10-28T07:46:00Z</dcterms:modified>
  <dc:title>PRODAT Systemanforderungen für Server und Clients</dc:title>
  <dc:subject>Einrichtung, Betrieb und Checkliste</dc:subject>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